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E2" w:rsidRDefault="003556A5" w:rsidP="003556A5">
      <w:pPr>
        <w:spacing w:line="480" w:lineRule="auto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t>南京中医药大学</w:t>
      </w:r>
      <w:r>
        <w:rPr>
          <w:rFonts w:ascii="仿宋_GB2312" w:eastAsia="仿宋_GB2312" w:hint="eastAsia"/>
          <w:b/>
          <w:sz w:val="32"/>
          <w:szCs w:val="30"/>
        </w:rPr>
        <w:t>江苏省中药资源产业化过程协同创新中心建设管理委员会</w:t>
      </w:r>
      <w:r>
        <w:rPr>
          <w:rFonts w:ascii="仿宋_GB2312" w:eastAsia="仿宋_GB2312" w:hint="eastAsia"/>
          <w:b/>
          <w:sz w:val="32"/>
          <w:szCs w:val="30"/>
        </w:rPr>
        <w:t>关于聘任人员调整的工作会议纪要</w:t>
      </w:r>
    </w:p>
    <w:p w:rsidR="00E467E2" w:rsidRDefault="00E467E2">
      <w:pPr>
        <w:spacing w:line="480" w:lineRule="auto"/>
        <w:jc w:val="center"/>
        <w:rPr>
          <w:rFonts w:ascii="仿宋_GB2312" w:eastAsia="仿宋_GB2312"/>
          <w:b/>
          <w:sz w:val="32"/>
          <w:szCs w:val="30"/>
        </w:rPr>
      </w:pPr>
    </w:p>
    <w:p w:rsidR="00E467E2" w:rsidRDefault="00E467E2">
      <w:pPr>
        <w:spacing w:line="480" w:lineRule="auto"/>
        <w:jc w:val="right"/>
        <w:rPr>
          <w:rFonts w:ascii="Times New Roman" w:eastAsia="仿宋_GB2312" w:hAnsi="Times New Roman" w:cs="Times New Roman"/>
          <w:sz w:val="28"/>
          <w:szCs w:val="30"/>
        </w:rPr>
      </w:pPr>
      <w:bookmarkStart w:id="0" w:name="_GoBack"/>
      <w:bookmarkEnd w:id="0"/>
    </w:p>
    <w:p w:rsidR="00E467E2" w:rsidRDefault="00E467E2">
      <w:pPr>
        <w:spacing w:line="48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30"/>
        </w:rPr>
        <w:sectPr w:rsidR="00E467E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467E2" w:rsidRDefault="003556A5">
      <w:pPr>
        <w:spacing w:line="360" w:lineRule="auto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lastRenderedPageBreak/>
        <w:t>附表：</w:t>
      </w:r>
    </w:p>
    <w:p w:rsidR="00E467E2" w:rsidRDefault="003556A5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t xml:space="preserve">1. </w:t>
      </w:r>
      <w:r>
        <w:rPr>
          <w:rFonts w:ascii="Times New Roman" w:eastAsia="黑体" w:hAnsi="Times New Roman" w:cs="Times New Roman"/>
          <w:sz w:val="24"/>
          <w:szCs w:val="28"/>
        </w:rPr>
        <w:t>全职固定人员名单</w:t>
      </w:r>
      <w:r>
        <w:rPr>
          <w:rFonts w:ascii="Times New Roman" w:eastAsia="黑体" w:hAnsi="Times New Roman" w:cs="Times New Roman"/>
          <w:sz w:val="24"/>
          <w:szCs w:val="28"/>
        </w:rPr>
        <w:t xml:space="preserve">            </w:t>
      </w:r>
      <w:r>
        <w:rPr>
          <w:rFonts w:ascii="Times New Roman" w:eastAsia="黑体" w:hAnsi="Times New Roman" w:cs="Times New Roman"/>
          <w:sz w:val="24"/>
          <w:szCs w:val="28"/>
        </w:rPr>
        <w:t xml:space="preserve">                                                             </w:t>
      </w:r>
      <w:r>
        <w:rPr>
          <w:rFonts w:ascii="Times New Roman" w:eastAsia="黑体" w:hAnsi="Times New Roman" w:cs="Times New Roman"/>
          <w:sz w:val="24"/>
          <w:szCs w:val="28"/>
        </w:rPr>
        <w:t>合计人数：</w:t>
      </w:r>
      <w:r>
        <w:rPr>
          <w:rFonts w:ascii="Times New Roman" w:eastAsia="黑体" w:hAnsi="Times New Roman" w:cs="Times New Roman" w:hint="eastAsia"/>
          <w:sz w:val="24"/>
          <w:szCs w:val="28"/>
        </w:rPr>
        <w:t>29</w:t>
      </w:r>
    </w:p>
    <w:tbl>
      <w:tblPr>
        <w:tblW w:w="13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850"/>
        <w:gridCol w:w="1276"/>
        <w:gridCol w:w="1276"/>
        <w:gridCol w:w="1559"/>
        <w:gridCol w:w="3144"/>
        <w:gridCol w:w="2268"/>
        <w:gridCol w:w="2101"/>
      </w:tblGrid>
      <w:tr w:rsidR="00E467E2">
        <w:trPr>
          <w:trHeight w:val="582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中心职位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研究方向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原工作单位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聘用时间</w:t>
            </w:r>
          </w:p>
        </w:tc>
      </w:tr>
      <w:tr w:rsidR="00E467E2">
        <w:trPr>
          <w:trHeight w:val="582"/>
          <w:jc w:val="center"/>
        </w:trPr>
        <w:tc>
          <w:tcPr>
            <w:tcW w:w="13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任务方向</w:t>
            </w:r>
            <w:proofErr w:type="gramStart"/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中药资源</w:t>
            </w:r>
            <w:r>
              <w:rPr>
                <w:rFonts w:ascii="Times New Roman" w:eastAsia="华文新魏" w:hAnsi="Times New Roman" w:cs="Times New Roman" w:hint="eastAsia"/>
                <w:b/>
                <w:sz w:val="24"/>
                <w:szCs w:val="24"/>
              </w:rPr>
              <w:t>调查与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种质选育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吴启南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1963.7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办公室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主任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/PI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中药资源与资源化学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钱大玮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1962.10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中药资源与资源化学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鲁学军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1963.1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工程师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中药资源化学与产业化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南京弘典医药科技有限公司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郭盛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1977.9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讲师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中药资源化学与产业化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严辉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1980.12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讲师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中药资源化学与产业化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肖平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1988.2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中药资源化学与产业化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任务方向二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华文新魏" w:hAnsi="Times New Roman" w:cs="Times New Roman" w:hint="eastAsia"/>
                <w:b/>
                <w:sz w:val="24"/>
                <w:szCs w:val="24"/>
              </w:rPr>
              <w:t>药材生产与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饮片加工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蔡宝昌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1952.9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首席科学家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中药炮制与饮片加工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丁安伟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1950.10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中药炮制机理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张丽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1971.2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中药分析与饮片标准化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陆兔林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1963.9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中药炮制标准研究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单鸣秋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1976.12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中药炮制与饮片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标准化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魏丹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1986.4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中药分析与饮片标准化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任务方向三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中药</w:t>
            </w:r>
            <w:r>
              <w:rPr>
                <w:rFonts w:ascii="Times New Roman" w:eastAsia="华文新魏" w:hAnsi="Times New Roman" w:cs="Times New Roman" w:hint="eastAsia"/>
                <w:b/>
                <w:sz w:val="24"/>
                <w:szCs w:val="24"/>
              </w:rPr>
              <w:t>功效物质与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配伍安全性</w:t>
            </w:r>
            <w:r>
              <w:rPr>
                <w:rFonts w:ascii="Times New Roman" w:eastAsia="华文新魏" w:hAnsi="Times New Roman" w:cs="Times New Roman" w:hint="eastAsia"/>
                <w:b/>
                <w:sz w:val="24"/>
                <w:szCs w:val="24"/>
              </w:rPr>
              <w:t>及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有效性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谭仁祥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1960.12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首席科学家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>天然产物化学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1"/>
              </w:rPr>
              <w:t>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胡立宏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>1965.10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>研究员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PI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>天然药物化学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1"/>
              </w:rPr>
              <w:t>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唐于平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1970.1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中药及方剂药效物质基础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郭建明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1979.8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中药生物活性评价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朱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1980.8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神经药理学研究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香港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刘培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1982.2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讲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中药配伍与代谢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任务方向四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中药产品制造过程关键技术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郭立玮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1948.09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中药制药过程关键技术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吴皓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1957.09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海洋药物资源与产业化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彭国平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1963.06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中药注射剂制剂工艺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朱华旭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1972.07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中药制剂分析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尚尔鑫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1978.07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计算药物分析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任务方向五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中药资源产业化过程</w:t>
            </w:r>
            <w:r>
              <w:rPr>
                <w:rFonts w:ascii="Times New Roman" w:eastAsia="华文新魏" w:hAnsi="Times New Roman" w:cs="Times New Roman" w:hint="eastAsia"/>
                <w:b/>
                <w:sz w:val="24"/>
                <w:szCs w:val="24"/>
              </w:rPr>
              <w:t>循环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利用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段金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廒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1956.10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中心主任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首席科学家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中药资源化学研究与产业化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52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赵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1975.06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天然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产物化学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国伊利诺伊大学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52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宿树兰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1974.09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资源化学研究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1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江曙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1970.05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中药资源微生物研究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427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华永庆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1976.10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中药药效学评价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52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张森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1988.01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研究骨干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中药资源微生物研究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南京中医药大学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E2" w:rsidRDefault="003556A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</w:tbl>
    <w:p w:rsidR="00E467E2" w:rsidRDefault="00E467E2">
      <w:pPr>
        <w:spacing w:line="360" w:lineRule="auto"/>
        <w:ind w:firstLineChars="200" w:firstLine="480"/>
        <w:jc w:val="center"/>
        <w:rPr>
          <w:rFonts w:ascii="Times New Roman" w:eastAsia="黑体" w:hAnsi="Times New Roman" w:cs="Times New Roman"/>
          <w:sz w:val="24"/>
          <w:szCs w:val="28"/>
        </w:rPr>
      </w:pPr>
    </w:p>
    <w:p w:rsidR="00E467E2" w:rsidRDefault="003556A5">
      <w:pPr>
        <w:widowControl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/>
          <w:sz w:val="24"/>
          <w:szCs w:val="28"/>
        </w:rPr>
        <w:br w:type="page"/>
      </w:r>
    </w:p>
    <w:p w:rsidR="00E467E2" w:rsidRDefault="003556A5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 w:hint="eastAsia"/>
          <w:sz w:val="24"/>
          <w:szCs w:val="28"/>
        </w:rPr>
        <w:lastRenderedPageBreak/>
        <w:t xml:space="preserve">2. </w:t>
      </w:r>
      <w:r>
        <w:rPr>
          <w:rFonts w:ascii="Times New Roman" w:eastAsia="黑体" w:hAnsi="Times New Roman" w:cs="Times New Roman"/>
          <w:sz w:val="24"/>
          <w:szCs w:val="28"/>
        </w:rPr>
        <w:t>兼职</w:t>
      </w:r>
      <w:proofErr w:type="gramStart"/>
      <w:r>
        <w:rPr>
          <w:rFonts w:ascii="Times New Roman" w:eastAsia="黑体" w:hAnsi="Times New Roman" w:cs="Times New Roman"/>
          <w:sz w:val="24"/>
          <w:szCs w:val="28"/>
        </w:rPr>
        <w:t>与双聘人员</w:t>
      </w:r>
      <w:proofErr w:type="gramEnd"/>
      <w:r>
        <w:rPr>
          <w:rFonts w:ascii="Times New Roman" w:eastAsia="黑体" w:hAnsi="Times New Roman" w:cs="Times New Roman"/>
          <w:sz w:val="24"/>
          <w:szCs w:val="28"/>
        </w:rPr>
        <w:t>名单</w:t>
      </w:r>
      <w:r>
        <w:rPr>
          <w:rFonts w:ascii="Times New Roman" w:eastAsia="黑体" w:hAnsi="Times New Roman" w:cs="Times New Roman"/>
          <w:sz w:val="24"/>
          <w:szCs w:val="28"/>
        </w:rPr>
        <w:t xml:space="preserve">                                                                  </w:t>
      </w:r>
      <w:r>
        <w:rPr>
          <w:rFonts w:ascii="Times New Roman" w:eastAsia="黑体" w:hAnsi="Times New Roman" w:cs="Times New Roman" w:hint="eastAsia"/>
          <w:sz w:val="24"/>
          <w:szCs w:val="28"/>
        </w:rPr>
        <w:t xml:space="preserve">        </w:t>
      </w:r>
      <w:r>
        <w:rPr>
          <w:rFonts w:ascii="Times New Roman" w:eastAsia="黑体" w:hAnsi="Times New Roman" w:cs="Times New Roman"/>
          <w:sz w:val="24"/>
          <w:szCs w:val="28"/>
        </w:rPr>
        <w:t xml:space="preserve">     </w:t>
      </w:r>
      <w:r>
        <w:rPr>
          <w:rFonts w:ascii="Times New Roman" w:eastAsia="黑体" w:hAnsi="Times New Roman" w:cs="Times New Roman"/>
          <w:sz w:val="24"/>
          <w:szCs w:val="28"/>
        </w:rPr>
        <w:t>合计人数：</w:t>
      </w:r>
      <w:r>
        <w:rPr>
          <w:rFonts w:ascii="Times New Roman" w:eastAsia="黑体" w:hAnsi="Times New Roman" w:cs="Times New Roman" w:hint="eastAsia"/>
          <w:sz w:val="24"/>
          <w:szCs w:val="28"/>
        </w:rPr>
        <w:t>138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9"/>
        <w:gridCol w:w="1257"/>
        <w:gridCol w:w="1560"/>
        <w:gridCol w:w="1417"/>
        <w:gridCol w:w="1701"/>
        <w:gridCol w:w="3119"/>
        <w:gridCol w:w="992"/>
        <w:gridCol w:w="1843"/>
      </w:tblGrid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中心兼职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研究方向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年聘用时间</w:t>
            </w:r>
          </w:p>
          <w:p w:rsidR="00E467E2" w:rsidRDefault="003556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（月）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E467E2">
        <w:trPr>
          <w:trHeight w:val="680"/>
        </w:trPr>
        <w:tc>
          <w:tcPr>
            <w:tcW w:w="14176" w:type="dxa"/>
            <w:gridSpan w:val="9"/>
            <w:shd w:val="clear" w:color="auto" w:fill="auto"/>
            <w:vAlign w:val="center"/>
          </w:tcPr>
          <w:p w:rsidR="00E467E2" w:rsidRDefault="003556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任务方向</w:t>
            </w:r>
            <w:proofErr w:type="gramStart"/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中药资源</w:t>
            </w:r>
            <w:r>
              <w:rPr>
                <w:rFonts w:ascii="Times New Roman" w:eastAsia="华文新魏" w:hAnsi="Times New Roman" w:cs="Times New Roman" w:hint="eastAsia"/>
                <w:b/>
                <w:sz w:val="24"/>
                <w:szCs w:val="24"/>
              </w:rPr>
              <w:t>调查与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种质选育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黄璐琦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1968.3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首席科学家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生物资源生理生态学研究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中国中医科学院中药研究所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陈士林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1963.1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长江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首席科学家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种质资源遗传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中国中医科学院中药研究所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郭兰萍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1970.3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中药资源生态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中国中医科学院中药研究所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魏建和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1970.9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种质选育研究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中国医学科学院药用植物研究所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陈君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1963.3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药用植物保护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中国医学科学院药用植物研究所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袁媛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1978.9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中药资源学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中国中医科学院中药资源中心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秦民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1962.6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中药资源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曹园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1971.7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中药资源化学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巢建国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1960.1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资源种质选育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陈建伟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1955.2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中药资源品质评价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陈丽红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1975.9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中药鉴定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陈佩东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1970.3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陈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诜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1961.1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助研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谷巍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1969.9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植物生物合成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季德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1982.1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中药饮片标准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乐巍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1974.5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中药鉴定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刘睿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1982.1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药用动物资源化学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刘圣金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1972.4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中药品质评价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刘训红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1959.9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中药资源与鉴定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束晓云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1977.4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中药资源鉴定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谈献和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1952.9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资源种质选育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田方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1965.12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资源种质选育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张瑜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1973.4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中药资源学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周婧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1980.8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中药品质评价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邹立思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1985.6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药用植物栽培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76" w:type="dxa"/>
            <w:gridSpan w:val="9"/>
            <w:shd w:val="clear" w:color="auto" w:fill="auto"/>
            <w:vAlign w:val="center"/>
          </w:tcPr>
          <w:p w:rsidR="00E467E2" w:rsidRDefault="003556A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任务方向二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华文新魏" w:hAnsi="Times New Roman" w:cs="Times New Roman" w:hint="eastAsia"/>
                <w:b/>
                <w:sz w:val="24"/>
                <w:szCs w:val="24"/>
              </w:rPr>
              <w:t>药材生产与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饮片加工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赵润怀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1957.6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药材生产与产地加工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中国药材公司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王继永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1964.11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中药饮片标准化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中国药材公司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狄留庆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1964.9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生物药剂学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包贝华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1978.12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中药分析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蔡皓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1966.3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中药炮制学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曹雨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诞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1977.1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中药分析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池玉梅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1962.2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崔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小兵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1975.11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邓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海山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1976.8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计算药物分析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韩疏影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1983.2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康安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1983.12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冷雪娇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1986.1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中药健康产品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李林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1978.1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中药饮片标准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李伟东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1969.8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中药饮片标准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李祥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1953.3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李璇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1975.3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刘晓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1981.4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中药炮制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毛春芹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1963.3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中药炮制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潘苏华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1959.6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中药健康产品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潘扬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1964.1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生物制药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潘永兰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1971.11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生物药剂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陶益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1985.8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中药分析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郁红礼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1981.6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助理研究员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中药炮制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76" w:type="dxa"/>
            <w:gridSpan w:val="9"/>
            <w:shd w:val="clear" w:color="auto" w:fill="auto"/>
            <w:vAlign w:val="center"/>
          </w:tcPr>
          <w:p w:rsidR="00E467E2" w:rsidRDefault="003556A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任务方向三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中药</w:t>
            </w:r>
            <w:r>
              <w:rPr>
                <w:rFonts w:ascii="Times New Roman" w:eastAsia="华文新魏" w:hAnsi="Times New Roman" w:cs="Times New Roman" w:hint="eastAsia"/>
                <w:b/>
                <w:sz w:val="24"/>
                <w:szCs w:val="24"/>
              </w:rPr>
              <w:t>功效物质与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配伍安全性</w:t>
            </w:r>
            <w:r>
              <w:rPr>
                <w:rFonts w:ascii="Times New Roman" w:eastAsia="华文新魏" w:hAnsi="Times New Roman" w:cs="Times New Roman" w:hint="eastAsia"/>
                <w:b/>
                <w:sz w:val="24"/>
                <w:szCs w:val="24"/>
              </w:rPr>
              <w:t>及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有效性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张伯礼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1948.5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咨询顾问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中医药学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中国中医科学院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顾晓松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1953.12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咨询顾问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神经生物学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胡刚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1962.3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首席科学家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神经生物学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范欣生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1958.6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方剂配伍理论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沈旭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1969.7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中药制药过程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唐宗湘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1964.5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生理病理机制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卞慧敏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1958.11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药效与安全性评价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陈文星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1975.1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药效评价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董洁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1979.2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生物药剂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贡岳松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1962.7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分子生物学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洪敏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1972.11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中药药效评价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李晓曼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1987.12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梁涛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1973.1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龙军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1977.3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中药药理药效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彭蕴茹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1973.8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中药资源生物活性评价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江苏省中医药研究院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王宇华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1979.4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吴丽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1976.12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徐立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1957.5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药效与安全性评价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许惠琴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1961.3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中药药效评价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许立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1964.7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中药药效评价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严国俊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1980.1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中药炮制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杨光明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1974.9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中药炮制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于光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1975.11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药用生物技术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余黎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1973.5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中药药效评价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喻斌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1978.12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中药药效评价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袁冬平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1975.7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中药药效评价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张峰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1985.7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中药药效评价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张启春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1977.1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药效与安全性评价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张旭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1968.6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中药配伍有效性评价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赵晓莉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1976.8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中药药效评价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郑仕中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1962.8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中药药效评价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朱静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1976.5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分子生物学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76" w:type="dxa"/>
            <w:gridSpan w:val="9"/>
            <w:shd w:val="clear" w:color="auto" w:fill="auto"/>
            <w:vAlign w:val="center"/>
          </w:tcPr>
          <w:p w:rsidR="00E467E2" w:rsidRDefault="003556A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任务方向四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中药产品制造过程关键技术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萧伟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1959.1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首席科学家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中药制药过程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江苏康缘药业股份有限公司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王振中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1968.3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中药制药过程优化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江苏康缘药业股份有限公司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丁岗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1967.12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生产过程质量控制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江苏康缘药业股份有限公司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曹龙祥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1957.11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中药制药过程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江苏济川药业集团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董自波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1970.8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中药有效性与安全性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江苏济川药业集团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汤卫国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1963.8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中药新药研发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金陵药业股份有限公司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徐向阳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1969.11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中药制剂工艺优化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金陵药业股份有限公司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陈军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1975.11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生物药剂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李伟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1963.12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中药创新药物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陈志鹏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1979.5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中药制剂开发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毕肖林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1977.11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中药分析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陈瑶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1983.7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生物药剂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陈勇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1987.1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程芳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1987.5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中药分析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程建明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1965.12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生物药剂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戴小斌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1972.4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中药品质评价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樊文玲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1974.3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中药制剂前处理过程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付廷明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1976.8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顾薇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1981.2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生物药剂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李博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1984.4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李存玉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1985.5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李红阳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1966.9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生物制剂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李念光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1977.5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中药活性物质结构衍化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刘永海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1976.2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欧春艳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1976.2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王天麟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1982.9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生物药剂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76" w:type="dxa"/>
            <w:gridSpan w:val="9"/>
            <w:shd w:val="clear" w:color="auto" w:fill="auto"/>
            <w:vAlign w:val="center"/>
          </w:tcPr>
          <w:p w:rsidR="00E467E2" w:rsidRDefault="003556A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任务方向五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中药资源产业化过程</w:t>
            </w:r>
            <w:r>
              <w:rPr>
                <w:rFonts w:ascii="Times New Roman" w:eastAsia="华文新魏" w:hAnsi="Times New Roman" w:cs="Times New Roman" w:hint="eastAsia"/>
                <w:b/>
                <w:sz w:val="24"/>
                <w:szCs w:val="24"/>
              </w:rPr>
              <w:t>循环</w:t>
            </w:r>
            <w:r>
              <w:rPr>
                <w:rFonts w:ascii="Times New Roman" w:eastAsia="华文新魏" w:hAnsi="Times New Roman" w:cs="Times New Roman"/>
                <w:b/>
                <w:sz w:val="24"/>
                <w:szCs w:val="24"/>
              </w:rPr>
              <w:t>利用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欧阳平凯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1945.8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咨询顾问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生物化工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杨滨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1967.9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中药化学与分析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中国中医科学院中药研究所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马海乐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1963.3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客座教授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农产品深加工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李文林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1973.1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中药数据库建立与分析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梁侨丽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1970.9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中药资源化学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刘健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1983.6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中药资源化学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马宏跃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1980.8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中药相互作用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潘林梅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1971.1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乔宏志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1985.7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生物药剂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邵江娟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1976.9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申俊龙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1952.12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中医药经济管理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陶伟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1984.5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中药资源化学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王令充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1977.4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中药品质评价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王欣之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1984.11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生物制药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魏鲁霞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1957.1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医药经济学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文红梅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1965.1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资源品质评价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吴沁航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1981.11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生物制药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吴薛明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1979.3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生物制药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徐春蕾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1978.1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中药制剂分析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徐飞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1980.2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中药制剂分析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薛峰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1985.1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药用生物技术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薛鑫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1987.8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药用生物技术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杨念云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1971.9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姚薇薇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1979.8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姚卫峰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1978.9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中药制剂分析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尹莲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1962.9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中药配伍应用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袁天杰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1985.4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生物化工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张芳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1973.11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药用生物技术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郑云枫</w:t>
            </w:r>
            <w:proofErr w:type="gramEnd"/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1977.2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助理研究员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中药资源化学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周卫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1983.1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数据库建立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67E2" w:rsidRDefault="003556A5">
            <w:pPr>
              <w:jc w:val="center"/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朱栋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1977.9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  <w:tr w:rsidR="00E467E2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朱振华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1988.3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技术骨干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中药制药过程分析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7E2" w:rsidRDefault="003556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月起聘用</w:t>
            </w:r>
          </w:p>
        </w:tc>
      </w:tr>
    </w:tbl>
    <w:p w:rsidR="00E467E2" w:rsidRDefault="00E467E2">
      <w:pPr>
        <w:rPr>
          <w:rFonts w:ascii="Times New Roman" w:eastAsia="宋体" w:hAnsi="Times New Roman" w:cs="Times New Roman"/>
          <w:szCs w:val="21"/>
        </w:rPr>
      </w:pPr>
    </w:p>
    <w:sectPr w:rsidR="00E467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54"/>
    <w:rsid w:val="0002488D"/>
    <w:rsid w:val="00047A45"/>
    <w:rsid w:val="000D1954"/>
    <w:rsid w:val="000E13C4"/>
    <w:rsid w:val="00176630"/>
    <w:rsid w:val="00182B63"/>
    <w:rsid w:val="001C6277"/>
    <w:rsid w:val="001E278D"/>
    <w:rsid w:val="002060AB"/>
    <w:rsid w:val="0022177F"/>
    <w:rsid w:val="00231CCE"/>
    <w:rsid w:val="0025201A"/>
    <w:rsid w:val="002F6C3D"/>
    <w:rsid w:val="00324A5B"/>
    <w:rsid w:val="00343A75"/>
    <w:rsid w:val="003556A5"/>
    <w:rsid w:val="00372506"/>
    <w:rsid w:val="003A296D"/>
    <w:rsid w:val="003A512C"/>
    <w:rsid w:val="003B05A7"/>
    <w:rsid w:val="003B3CB5"/>
    <w:rsid w:val="003B5F67"/>
    <w:rsid w:val="00402969"/>
    <w:rsid w:val="004312C5"/>
    <w:rsid w:val="00464813"/>
    <w:rsid w:val="00485B7B"/>
    <w:rsid w:val="004B1BDD"/>
    <w:rsid w:val="00502643"/>
    <w:rsid w:val="005031FA"/>
    <w:rsid w:val="005E7C75"/>
    <w:rsid w:val="00654EC8"/>
    <w:rsid w:val="006E1E0B"/>
    <w:rsid w:val="0070382B"/>
    <w:rsid w:val="007769DC"/>
    <w:rsid w:val="007B4498"/>
    <w:rsid w:val="007B5526"/>
    <w:rsid w:val="007E68EC"/>
    <w:rsid w:val="007E6B55"/>
    <w:rsid w:val="00851AEF"/>
    <w:rsid w:val="00852C6F"/>
    <w:rsid w:val="008A72B2"/>
    <w:rsid w:val="008B5BDB"/>
    <w:rsid w:val="008D5B86"/>
    <w:rsid w:val="008F2446"/>
    <w:rsid w:val="008F4064"/>
    <w:rsid w:val="0097719D"/>
    <w:rsid w:val="009A4787"/>
    <w:rsid w:val="009C64C8"/>
    <w:rsid w:val="00A74DD5"/>
    <w:rsid w:val="00AB4DDF"/>
    <w:rsid w:val="00AD4420"/>
    <w:rsid w:val="00B0383D"/>
    <w:rsid w:val="00B32A8B"/>
    <w:rsid w:val="00BB2F8C"/>
    <w:rsid w:val="00C23DF7"/>
    <w:rsid w:val="00C32754"/>
    <w:rsid w:val="00C96CE6"/>
    <w:rsid w:val="00D069D4"/>
    <w:rsid w:val="00DF1F83"/>
    <w:rsid w:val="00DF4C37"/>
    <w:rsid w:val="00E21FF5"/>
    <w:rsid w:val="00E22BD7"/>
    <w:rsid w:val="00E45803"/>
    <w:rsid w:val="00E467E2"/>
    <w:rsid w:val="00E906C9"/>
    <w:rsid w:val="00EB3D9B"/>
    <w:rsid w:val="00EC304F"/>
    <w:rsid w:val="00F15AFF"/>
    <w:rsid w:val="00F3153F"/>
    <w:rsid w:val="00F7566F"/>
    <w:rsid w:val="00F96AB9"/>
    <w:rsid w:val="00FC768E"/>
    <w:rsid w:val="40A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3C486-C160-48BB-9B6A-99A92E17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iPriority="0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imes New Roman" w:eastAsia="宋体" w:hAnsi="Times New Roman" w:cs="Times New Roman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10">
    <w:name w:val="toc 1"/>
    <w:basedOn w:val="a"/>
    <w:next w:val="a"/>
    <w:uiPriority w:val="39"/>
    <w:qFormat/>
    <w:rPr>
      <w:rFonts w:ascii="Times New Roman" w:eastAsia="宋体" w:hAnsi="Times New Roman" w:cs="Times New Roman"/>
      <w:szCs w:val="21"/>
    </w:rPr>
  </w:style>
  <w:style w:type="paragraph" w:styleId="20">
    <w:name w:val="toc 2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qFormat/>
  </w:style>
  <w:style w:type="character" w:styleId="a8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9">
    <w:name w:val="Emphasis"/>
    <w:uiPriority w:val="20"/>
    <w:qFormat/>
    <w:rPr>
      <w:color w:val="CC0000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Theme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customStyle="1" w:styleId="1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"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">
    <w:name w:val="z-窗体顶端 字符"/>
    <w:basedOn w:val="a0"/>
    <w:link w:val="z-1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z-10">
    <w:name w:val="z-窗体底端1"/>
    <w:basedOn w:val="a"/>
    <w:next w:val="a"/>
    <w:link w:val="z-0"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0">
    <w:name w:val="z-窗体底端 字符"/>
    <w:basedOn w:val="a0"/>
    <w:link w:val="z-10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sz w:val="24"/>
      <w:szCs w:val="24"/>
    </w:rPr>
  </w:style>
  <w:style w:type="character" w:customStyle="1" w:styleId="strong21">
    <w:name w:val="strong21"/>
    <w:qFormat/>
    <w:rPr>
      <w:color w:val="FF0000"/>
      <w:sz w:val="25"/>
      <w:szCs w:val="25"/>
    </w:rPr>
  </w:style>
  <w:style w:type="paragraph" w:customStyle="1" w:styleId="12">
    <w:name w:val="无间隔1"/>
    <w:link w:val="ad"/>
    <w:uiPriority w:val="1"/>
    <w:qFormat/>
    <w:rPr>
      <w:rFonts w:ascii="Calibri" w:eastAsia="宋体" w:hAnsi="Calibri" w:cs="Times New Roman"/>
      <w:sz w:val="22"/>
      <w:szCs w:val="22"/>
    </w:rPr>
  </w:style>
  <w:style w:type="character" w:customStyle="1" w:styleId="ad">
    <w:name w:val="无间隔 字符"/>
    <w:link w:val="12"/>
    <w:uiPriority w:val="1"/>
    <w:qFormat/>
    <w:rPr>
      <w:rFonts w:ascii="Calibri" w:eastAsia="宋体" w:hAnsi="Calibri" w:cs="Times New Roman"/>
      <w:kern w:val="0"/>
      <w:sz w:val="22"/>
    </w:rPr>
  </w:style>
  <w:style w:type="character" w:customStyle="1" w:styleId="Char10">
    <w:name w:val="页眉 Char1"/>
    <w:uiPriority w:val="99"/>
    <w:semiHidden/>
    <w:qFormat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Char11">
    <w:name w:val="页脚 Char1"/>
    <w:uiPriority w:val="99"/>
    <w:semiHidden/>
    <w:qFormat/>
    <w:rPr>
      <w:rFonts w:ascii="Times New Roman" w:hAnsi="Times New Roman" w:cs="Times New Roman" w:hint="default"/>
      <w:kern w:val="2"/>
      <w:sz w:val="18"/>
      <w:szCs w:val="18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Char2">
    <w:name w:val="Char"/>
    <w:basedOn w:val="a"/>
    <w:qFormat/>
    <w:pPr>
      <w:tabs>
        <w:tab w:val="left" w:pos="600"/>
      </w:tabs>
      <w:ind w:left="600" w:hanging="6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1366</Words>
  <Characters>7790</Characters>
  <Application>Microsoft Office Word</Application>
  <DocSecurity>0</DocSecurity>
  <Lines>64</Lines>
  <Paragraphs>18</Paragraphs>
  <ScaleCrop>false</ScaleCrop>
  <Company>Microsoft</Company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Pei</dc:creator>
  <cp:lastModifiedBy>dell</cp:lastModifiedBy>
  <cp:revision>2</cp:revision>
  <dcterms:created xsi:type="dcterms:W3CDTF">2018-01-15T01:49:00Z</dcterms:created>
  <dcterms:modified xsi:type="dcterms:W3CDTF">2018-01-15T01:49:00Z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